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979 BGB — Verwertung; Verordnungsermächtigung</w:t>
      </w:r>
    </w:p>
    <w:p>
      <w:r>
        <w:rPr>
          <w:color w:val="555555"/>
          <w:sz w:val="18"/>
        </w:rPr>
        <w:t xml:space="preserve">Bürgerliches Gesetzbuch</w:t>
      </w:r>
    </w:p>
    <w:p>
      <w:r>
        <w:rPr>
          <w:color w:val="555555"/>
          <w:sz w:val="18"/>
        </w:rPr>
        <w:t xml:space="preserve">Stand: 01.01.2025 (konsolidierte Textfassung, kein amtliches Inkrafttretensdatum)</w:t>
      </w:r>
    </w:p>
    <w:p>
      <w:r>
        <w:t xml:space="preserve">(1) Die Behörde oder die Verkehrsanstalt kann die an sie abgelieferte Sache öffentlich versteigern lassen. Die öffentlichen Behörden und die Verkehrsanstalten des Reichs, der Bundesstaaten und der Gemeinden können die Versteigerung durch einen ihrer Beamten vornehmen lassen.</w:t>
      </w:r>
    </w:p>
    <w:p>
      <w:r>
        <w:t xml:space="preserve">(1a) Die Versteigerung kann nach Maßgabe der nachfolgenden Vorschriften auch als allgemein zugängliche Versteigerung im Internet über eine Versteigerungsplattform erfolgen.</w:t>
      </w:r>
    </w:p>
    <w:p>
      <w:r>
        <w:t xml:space="preserve">(1b) Die Bundesregierung wird ermächtigt, durch Rechtsverordnung ohne Zustimmung des Bundesrates für ihren Bereich Versteigerungsplattformen zur Versteigerung von Fundsachen zu bestimmen; sie kann diese Ermächtigung durch Rechtsverordnung auf die fachlich zuständigen obersten Bundesbehörden übertragen. Die Landesregierungen werden ermächtigt, durch Rechtsverordnung für ihren Bereich entsprechende Regelungen zu treffen; sie können die Ermächtigung auf die fachlich zuständigen obersten Landesbehörden übertragen. Die Länder können Versteigerungsplattformen bestimmen, die sie länderübergreifend nutzen. Sie können eine Übertragung von Abwicklungsaufgaben auf die zuständige Stelle eines anderen Landes vereinbaren.</w:t>
      </w:r>
    </w:p>
    <w:p>
      <w:r>
        <w:t xml:space="preserve">(2) Der Erlös tritt an die Stelle der Sache.</w:t>
      </w:r>
    </w:p>
    <w:p>
      <w:r>
        <w:rPr>
          <w:color w:val="555555"/>
          <w:sz w:val="17"/>
        </w:rPr>
        <w:t xml:space="preserve">Zitiervorschlag: § 979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https://recht.nulegal.eu/gesetze/BGB/979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