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972 BGB — Zurückbehaltungsrecht des Finders</w:t>
      </w:r>
    </w:p>
    <w:p>
      <w:r>
        <w:rPr>
          <w:color w:val="555555"/>
          <w:sz w:val="18"/>
        </w:rPr>
        <w:t xml:space="preserve">Bürgerliches Gesetzbuch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Auf die in den §§ 970, 971 bestimmten Ansprüche finden die für die Ansprüche des Besitzers gegen den Eigentümer wegen Verwendungen geltenden Vorschriften der §§ 1000 bis 1002 entsprechende Anwendung.</w:t>
      </w:r>
    </w:p>
    <w:p>
      <w:r>
        <w:rPr>
          <w:color w:val="555555"/>
          <w:sz w:val="17"/>
        </w:rPr>
        <w:t xml:space="preserve">Zitiervorschlag: § 972 BGB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https://recht.nulegal.eu/gesetze/BGB/972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