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960 BGB — Wilde Tiere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Wilde Tiere sind herrenlos, solange sie sich in der Freiheit befinden. Wilde Tiere in Tiergärten und Fische in Teichen oder anderen geschlossenen Privatgewässern sind nicht herrenlos.</w:t>
      </w:r>
    </w:p>
    <w:p>
      <w:r>
        <w:t xml:space="preserve">(2) Erlangt ein gefangenes wildes Tier die Freiheit wieder, so wird es herrenlos, wenn nicht der Eigentümer das Tier unverzüglich verfolgt oder wenn er die Verfolgung aufgibt.</w:t>
      </w:r>
    </w:p>
    <w:p>
      <w:r>
        <w:t xml:space="preserve">(3) Ein gezähmtes Tier wird herrenlos, wenn es die Gewohnheit ablegt, an den ihm bestimmten Ort zurückzukehren.</w:t>
      </w:r>
    </w:p>
    <w:p>
      <w:r>
        <w:rPr>
          <w:color w:val="555555"/>
          <w:sz w:val="17"/>
        </w:rPr>
        <w:t xml:space="preserve">Zitiervorschlag: § 960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