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958 BGB — Eigentumserwerb an beweglichen herrenlosen Sachen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Wer eine herrenlose bewegliche Sache in Eigenbesitz nimmt, erwirbt das Eigentum an der Sache.</w:t>
      </w:r>
    </w:p>
    <w:p>
      <w:r>
        <w:t xml:space="preserve">(2) Das Eigentum wird nicht erworben, wenn die Aneignung gesetzlich verboten ist oder wenn durch die Besitzergreifung das Aneignungsrecht eines anderen verletzt wird.</w:t>
      </w:r>
    </w:p>
    <w:p>
      <w:r>
        <w:rPr>
          <w:color w:val="555555"/>
          <w:sz w:val="17"/>
        </w:rPr>
        <w:t xml:space="preserve">Zitiervorschlag: § 958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https://recht.nulegal.eu/gesetze/BGB/958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