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956 BGB — Erwerb durch persönlich Berechtigten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Gestattet der Eigentümer einem anderen, sich Erzeugnisse oder sonstige Bestandteile der Sache anzueignen, so erwirbt dieser das Eigentum an ihnen, wenn der Besitz der Sache ihm überlassen ist, mit der Trennung, anderenfalls mit der Besitzergreifung. Ist der Eigentümer zu der Gestattung verpflichtet, so kann er sie nicht widerrufen, solange sich der andere in dem ihm überlassenen Besitz der Sache befindet.</w:t>
      </w:r>
    </w:p>
    <w:p>
      <w:r>
        <w:t xml:space="preserve">(2) Das Gleiche gilt, wenn die Gestattung nicht von dem Eigentümer, sondern von einem anderen ausgeht, dem Erzeugnisse oder sonstige Bestandteile einer Sache nach der Trennung gehören.</w:t>
      </w:r>
    </w:p>
    <w:p>
      <w:r>
        <w:rPr>
          <w:color w:val="555555"/>
          <w:sz w:val="17"/>
        </w:rPr>
        <w:t xml:space="preserve">Zitiervorschlag: § 956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