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955 BGB — Erwerb durch gutgläubigen Eigenbesitzer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eine Sache im Eigenbesitz hat, erwirbt das Eigentum an den Erzeugnissen und sonstigen zu den Früchten der Sache gehörenden Bestandteilen, unbeschadet der Vorschriften der §§ 956, 957, mit der Trennung. Der Erwerb ist ausgeschlossen, wenn der Eigenbesitzer nicht zum Eigenbesitz oder ein anderer vermöge eines Rechts an der Sache zum Fruchtbezug berechtigt ist und der Eigenbesitzer bei dem Erwerb des Eigenbesitzes nicht in gutem Glauben ist oder vor der Trennung den Rechtsmangel erfährt.</w:t>
      </w:r>
    </w:p>
    <w:p>
      <w:r>
        <w:t xml:space="preserve">(2) Dem Eigenbesitzer steht derjenige gleich, welcher die Sache zum Zwecke der Ausübung eines Nutzungsrechts an ihr besitzt.</w:t>
      </w:r>
    </w:p>
    <w:p>
      <w:r>
        <w:t xml:space="preserve">(3) Auf den Eigenbesitz und den ihm gleichgestellten Besitz findet die Vorschrift des § 940 Abs. 2 entsprechende Anwendung.</w:t>
      </w:r>
    </w:p>
    <w:p>
      <w:r>
        <w:rPr>
          <w:color w:val="555555"/>
          <w:sz w:val="17"/>
        </w:rPr>
        <w:t xml:space="preserve">Zitiervorschlag: § 955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