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952 BGB — Eigentum an Schuldurkunden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Eigentum an dem über eine Forderung ausgestellten Schuldschein steht dem Gläubiger zu. Das Recht eines Dritten an der Forderung erstreckt sich auf den Schuldschein.</w:t>
      </w:r>
    </w:p>
    <w:p>
      <w:r>
        <w:t xml:space="preserve">(2) Das Gleiche gilt für Urkunden über andere Rechte, kraft deren eine Leistung gefordert werden kann, insbesondere für Hypotheken-, Grundschuld- und Rentenschuldbriefe.</w:t>
      </w:r>
    </w:p>
    <w:p>
      <w:r>
        <w:rPr>
          <w:color w:val="555555"/>
          <w:sz w:val="17"/>
        </w:rPr>
        <w:t xml:space="preserve">Zitiervorschlag: § 952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