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951 BGB — Entschädigung für Rechtsverlust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infolge der Vorschriften der §§ 946 bis 950 einen Rechtsverlust erleidet, kann von demjenigen, zu dessen Gunsten die Rechtsänderung eintritt, Vergütung in Geld nach den Vorschriften über die Herausgabe einer ungerechtfertigten Bereicherung fordern. Die Wiederherstellung des früheren Zustands kann nicht verlangt werden.</w:t>
      </w:r>
    </w:p>
    <w:p>
      <w:r>
        <w:t xml:space="preserve">(2) Die Vorschriften über die Verpflichtung zum Schadensersatz wegen unerlaubter Handlungen sowie die Vorschriften über den Ersatz von Verwendungen und über das Recht zur Wegnahme einer Einrichtung bleiben unberührt. In den Fällen der §§ 946, 947 ist die Wegnahme nach den für das Wegnahmerecht des Besitzers gegenüber dem Eigentümer geltenden Vorschriften auch dann zulässig, wenn die Verbindung nicht von dem Besitzer der Hauptsache bewirkt worden ist.</w:t>
      </w:r>
    </w:p>
    <w:p>
      <w:r>
        <w:rPr>
          <w:color w:val="555555"/>
          <w:sz w:val="17"/>
        </w:rPr>
        <w:t xml:space="preserve">Zitiervorschlag: § 951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951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