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948 BGB — Vermischung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bewegliche Sachen miteinander untrennbar vermischt oder vermengt, so finden die Vorschriften des § 947 entsprechende Anwendung.</w:t>
      </w:r>
    </w:p>
    <w:p>
      <w:r>
        <w:t xml:space="preserve">(2) Der Untrennbarkeit steht es gleich, wenn die Trennung der vermischten oder vermengten Sachen mit unverhältnismäßigen Kosten verbunden sein würde.</w:t>
      </w:r>
    </w:p>
    <w:p>
      <w:r>
        <w:rPr>
          <w:color w:val="555555"/>
          <w:sz w:val="17"/>
        </w:rPr>
        <w:t xml:space="preserve">Zitiervorschlag: § 948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