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947 BGB — Verbindung mit beweglichen Sachen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bewegliche Sachen miteinander dergestalt verbunden, dass sie wesentliche Bestandteile einer einheitlichen Sache werden, so werden die bisherigen Eigentümer Miteigentümer dieser Sache; die Anteile bestimmen sich nach dem Verhältnis des Wertes, den die Sachen zur Zeit der Verbindung haben.</w:t>
      </w:r>
    </w:p>
    <w:p>
      <w:r>
        <w:t xml:space="preserve">(2) Ist eine der Sachen als die Hauptsache anzusehen, so erwirbt ihr Eigentümer das Alleineigentum.</w:t>
      </w:r>
    </w:p>
    <w:p>
      <w:r>
        <w:rPr>
          <w:color w:val="555555"/>
          <w:sz w:val="17"/>
        </w:rPr>
        <w:t xml:space="preserve">Zitiervorschlag: § 947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