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942 BGB — Wirkung der Unterbrechung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Ersitzung unterbrochen, so kommt die bis zur Unterbrechung verstrichene Zeit nicht in Betracht; eine neue Ersitzung kann erst nach der Beendigung der Unterbrechung beginnen.</w:t>
      </w:r>
    </w:p>
    <w:p>
      <w:r>
        <w:rPr>
          <w:color w:val="555555"/>
          <w:sz w:val="17"/>
        </w:rPr>
        <w:t xml:space="preserve">Zitiervorschlag: § 942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https://recht.nulegal.eu/gesetze/BGB/942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