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940 BGB — Unterbrechung durch Besitzverlust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Ersitzung wird durch den Verlust des Eigenbesitzes unterbrochen.</w:t>
      </w:r>
    </w:p>
    <w:p>
      <w:r>
        <w:t xml:space="preserve">(2) Die Unterbrechung gilt als nicht erfolgt, wenn der Eigenbesitzer den Eigenbesitz ohne seinen Willen verloren und ihn binnen Jahresfrist oder mittels einer innerhalb dieser Frist erhobenen Klage wiedererlangt hat.</w:t>
      </w:r>
    </w:p>
    <w:p>
      <w:r>
        <w:rPr>
          <w:color w:val="555555"/>
          <w:sz w:val="17"/>
        </w:rPr>
        <w:t xml:space="preserve">Zitiervorschlag: § 940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