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939 BGB — Hemmung der Ersitzung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Ersitzung ist gehemmt, wenn der Herausgabeanspruch gegen den Eigenbesitzer oder im Falle eines mittelbaren Eigenbesitzes gegen den Besitzer, der sein Recht zum Besitz von dem Eigenbesitzer ableitet, in einer nach den §§ 203 und 204 zur Hemmung der Verjährung geeigneten Weise geltend gemacht wird. Die Hemmung tritt jedoch nur zugunsten desjenigen ein, welcher sie herbeiführt.</w:t>
      </w:r>
    </w:p>
    <w:p>
      <w:r>
        <w:t xml:space="preserve">(2) Die Ersitzung ist ferner gehemmt, solange die Verjährung des Herausgabeanspruchs nach den §§ 205 bis 207 oder ihr Ablauf nach den §§ 210 und 211 gehemmt ist.</w:t>
      </w:r>
    </w:p>
    <w:p>
      <w:r>
        <w:rPr>
          <w:color w:val="555555"/>
          <w:sz w:val="17"/>
        </w:rPr>
        <w:t xml:space="preserve">Zitiervorschlag: § 939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