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937 BGB — Voraussetzungen, Ausschluss bei Kenntnis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bewegliche Sache zehn Jahre im Eigenbesitz hat, erwirbt das Eigentum (Ersitzung).</w:t>
      </w:r>
    </w:p>
    <w:p>
      <w:r>
        <w:t xml:space="preserve">(2) Die Ersitzung ist ausgeschlossen, wenn der Erwerber bei dem Erwerb des Eigenbesitzes nicht in gutem Glauben ist oder wenn er später erfährt, dass ihm das Eigentum nicht zusteht.</w:t>
      </w:r>
    </w:p>
    <w:p>
      <w:r>
        <w:rPr>
          <w:color w:val="555555"/>
          <w:sz w:val="17"/>
        </w:rPr>
        <w:t xml:space="preserve">Zitiervorschlag: § 937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