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936 BGB — Erlöschen von Rechten Dritter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veräußerte Sache mit dem Recht eines Dritten belastet, so erlischt das Recht mit dem Erwerb des Eigentums. In dem Falle des § 929 Satz 2 gilt dies jedoch nur dann, wenn der Erwerber den Besitz von dem Veräußerer erlangt hatte. Erfolgt die Veräußerung nach § 929a oder § 930 oder war die nach § 931 veräußerte Sache nicht im mittelbaren Besitz des Veräußerers, so erlischt das Recht des Dritten erst dann, wenn der Erwerber auf Grund der Veräußerung den Besitz der Sache erlangt.</w:t>
      </w:r>
    </w:p>
    <w:p>
      <w:r>
        <w:t xml:space="preserve">(2) Das Recht des Dritten erlischt nicht, wenn der Erwerber zu der nach Absatz 1 maßgebenden Zeit in Ansehung des Rechts nicht in gutem Glauben ist.</w:t>
      </w:r>
    </w:p>
    <w:p>
      <w:r>
        <w:t xml:space="preserve">(3) Steht im Falle des § 931 das Recht dem dritten Besitzer zu, so erlischt es auch dem gutgläubigen Erwerber gegenüber nicht.</w:t>
      </w:r>
    </w:p>
    <w:p>
      <w:r>
        <w:rPr>
          <w:color w:val="555555"/>
          <w:sz w:val="17"/>
        </w:rPr>
        <w:t xml:space="preserve">Zitiervorschlag: § 936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https://recht.nulegal.eu/gesetze/BGB/936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