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922 BGB — Art der Benutzung und Unterhaltung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Sind die Nachbarn zur Benutzung einer der in § 921 bezeichneten Einrichtungen gemeinschaftlich berechtigt, so kann jeder sie zu dem Zwecke, der sich aus ihrer Beschaffenheit ergibt, insoweit benutzen, als nicht die Mitbenutzung des anderen beeinträchtigt wird. Die Unterhaltungskosten sind von den Nachbarn zu gleichen Teilen zu tragen. Solange einer der Nachbarn an dem Fortbestand der Einrichtung ein Interesse hat, darf sie nicht ohne seine Zustimmung beseitigt oder geändert werden. Im Übrigen bestimmt sich das Rechtsverhältnis zwischen den Nachbarn nach den Vorschriften über die Gemeinschaft.</w:t>
      </w:r>
    </w:p>
    <w:p>
      <w:r>
        <w:rPr>
          <w:color w:val="555555"/>
          <w:sz w:val="17"/>
        </w:rPr>
        <w:t xml:space="preserve">Zitiervorschlag: § 922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https://recht.nulegal.eu/gesetze/BGB/922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