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919 BGB — Grenzabmarkung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Eigentümer eines Grundstücks kann von dem Eigentümer eines Nachbargrundstücks verlangen, dass dieser zur Errichtung fester Grenzzeichen und, wenn ein Grenzzeichen verrückt oder unkenntlich geworden ist, zur Wiederherstellung mitwirkt.</w:t>
      </w:r>
    </w:p>
    <w:p>
      <w:r>
        <w:t xml:space="preserve">(2) Die Art der Abmarkung und das Verfahren bestimmen sich nach den Landesgesetzen; enthalten diese keine Vorschriften, so entscheidet die Ortsüblichkeit.</w:t>
      </w:r>
    </w:p>
    <w:p>
      <w:r>
        <w:t xml:space="preserve">(3) Die Kosten der Abmarkung sind von den Beteiligten zu gleichen Teilen zu tragen, sofern nicht aus einem zwischen ihnen bestehenden Rechtsverhältnis sich ein anderes ergibt.</w:t>
      </w:r>
    </w:p>
    <w:p>
      <w:r>
        <w:rPr>
          <w:color w:val="555555"/>
          <w:sz w:val="17"/>
        </w:rPr>
        <w:t xml:space="preserve">Zitiervorschlag: § 919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