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913 BGB — Zahlung der Überbaurente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Rente für den Überbau ist dem jeweiligen Eigentümer des Nachbargrundstücks von dem jeweiligen Eigentümer des anderen Grundstücks zu entrichten.</w:t>
      </w:r>
    </w:p>
    <w:p>
      <w:r>
        <w:t xml:space="preserve">(2) Die Rente ist jährlich im Voraus zu entrichten.</w:t>
      </w:r>
    </w:p>
    <w:p>
      <w:r>
        <w:rPr>
          <w:color w:val="555555"/>
          <w:sz w:val="17"/>
        </w:rPr>
        <w:t xml:space="preserve">Zitiervorschlag: § 913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