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899a BGB — Maßgaben für die Gesellschaft bürgerlichen 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Außer Kraft: § 899a ist seit 01.01.2024 nicht mehr im BGB enthalten. Angezeigt wird die letzte bekannte Fassung, Stand 10.06.2019.</w:t>
      </w:r>
    </w:p>
    <w:p>
      <w:r>
        <w:t xml:space="preserve">Ist eine Gesellschaft bürgerlichen Rechts im Grundbuch eingetragen, so wird in Ansehung des eingetragenen Rechts auch vermutet, dass diejenigen Personen Gesellschafter sind, die nach § 47 Absatz 2 Satz 1 der Grundbuchordnung im Grundbuch eingetragen sind, und dass darüber hinaus keine weiteren Gesellschafter vorhanden sind. Die §§ 892 bis 899 gelten bezüglich der Eintragung der Gesellschafter entsprechend.</w:t>
      </w:r>
    </w:p>
    <w:p>
      <w:r>
        <w:rPr>
          <w:color w:val="555555"/>
          <w:sz w:val="17"/>
        </w:rPr>
        <w:t xml:space="preserve">Zitiervorschlag: § 899a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https://recht.nulegal.eu/gesetze/BGB/899a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