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891 BGB — Gesetzliche Vermutung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im Grundbuch für jemand ein Recht eingetragen, so wird vermutet, dass ihm das Recht zustehe.</w:t>
      </w:r>
    </w:p>
    <w:p>
      <w:r>
        <w:t xml:space="preserve">(2) Ist im Grundbuch ein eingetragenes Recht gelöscht, so wird vermutet, dass das Recht nicht bestehe.</w:t>
      </w:r>
    </w:p>
    <w:p>
      <w:r>
        <w:rPr>
          <w:color w:val="555555"/>
          <w:sz w:val="17"/>
        </w:rPr>
        <w:t xml:space="preserve">Zitiervorschlag: § 891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