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89 BGB — Haftung für Organe; Insolvenz</w:t>
      </w:r>
    </w:p>
    <w:p>
      <w:r>
        <w:rPr>
          <w:color w:val="555555"/>
          <w:sz w:val="18"/>
        </w:rPr>
        <w:t xml:space="preserve">Bürgerliches Gesetzbuch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Die Vorschrift des § 31 findet auf den Fiskus sowie auf die Körperschaften, Stiftungen und Anstalten des öffentlichen Rechts entsprechende Anwendung.</w:t>
      </w:r>
    </w:p>
    <w:p>
      <w:r>
        <w:t xml:space="preserve">(2) Das Gleiche gilt, soweit bei Körperschaften, Stiftungen und Anstalten des öffentlichen Rechts das Insolvenzverfahren zulässig ist, von der Vorschrift des § 42 Abs. 2.</w:t>
      </w:r>
    </w:p>
    <w:p>
      <w:r>
        <w:rPr>
          <w:color w:val="555555"/>
          <w:sz w:val="17"/>
        </w:rPr>
        <w:t xml:space="preserve">Zitiervorschlag: § 89 BGB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https://recht.nulegal.eu/gesetze/BGB/89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