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889 BGB — Ausschluss der Konsolidation bei dinglichen Rechten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Recht an einem fremden Grundstück erlischt nicht dadurch, dass der Eigentümer des Grundstücks das Recht oder der Berechtigte das Eigentum an dem Grundstück erwirbt.</w:t>
      </w:r>
    </w:p>
    <w:p>
      <w:r>
        <w:rPr>
          <w:color w:val="555555"/>
          <w:sz w:val="17"/>
        </w:rPr>
        <w:t xml:space="preserve">Zitiervorschlag: § 889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https://recht.nulegal.eu/gesetze/BGB/889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