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882 BGB — Höchstbetrag des Wertersatzes</w:t>
      </w:r>
    </w:p>
    <w:p>
      <w:r>
        <w:rPr>
          <w:color w:val="555555"/>
          <w:sz w:val="18"/>
        </w:rPr>
        <w:t xml:space="preserve">Bürgerliches Gesetzbuch</w:t>
      </w:r>
    </w:p>
    <w:p>
      <w:r>
        <w:rPr>
          <w:color w:val="555555"/>
          <w:sz w:val="18"/>
        </w:rPr>
        <w:t xml:space="preserve">Stand: 10.06.2019 (konsolidierte Textfassung, kein amtliches Inkrafttretensdatum)</w:t>
      </w:r>
    </w:p>
    <w:p>
      <w:r>
        <w:t xml:space="preserve">Wird ein Grundstück mit einem Recht belastet, für welches nach den für die Zwangsversteigerung geltenden Vorschriften dem Berechtigten im Falle des Erlöschens durch den Zuschlag der Wert aus dem Erlös zu ersetzen ist, so kann der Höchstbetrag des Ersatzes bestimmt werden. Die Bestimmung bedarf der Eintragung in das Grundbuch.</w:t>
      </w:r>
    </w:p>
    <w:p>
      <w:r>
        <w:rPr>
          <w:color w:val="555555"/>
          <w:sz w:val="17"/>
        </w:rPr>
        <w:t xml:space="preserve">Zitiervorschlag: § 882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https://recht.nulegal.eu/gesetze/BGB/882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