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 BGB — Auflösung der Stiftung durch die Stiftungsorgane</w:t>
      </w:r>
    </w:p>
    <w:p>
      <w:r>
        <w:rPr>
          <w:color w:val="555555"/>
          <w:sz w:val="18"/>
        </w:rPr>
        <w:t xml:space="preserve">Bürgerliches Gesetzbuch</w:t>
      </w:r>
    </w:p>
    <w:p>
      <w:r>
        <w:rPr>
          <w:color w:val="555555"/>
          <w:sz w:val="18"/>
        </w:rPr>
        <w:t xml:space="preserve">Stand: 01.07.2023 (konsolidierte Textfassung, kein amtliches Inkrafttretensdatum)</w:t>
      </w:r>
    </w:p>
    <w:p>
      <w:r>
        <w:t xml:space="preserve">(1) Der Vorstand soll die Stiftung auflösen, wenn die Stiftung ihren Zweck endgültig nicht mehr dauernd und nachhaltig erfüllen kann. Die Voraussetzungen des Satzes 1 liegen nicht endgültig vor, wenn die Stiftung durch eine Satzungsänderung so umgestaltet werden kann, dass sie ihren Zweck wieder dauernd und nachhaltig erfüllen kann. In der Satzung kann geregelt werden, dass ein anderes Organ über die Auflösung entscheidet.</w:t>
      </w:r>
    </w:p>
    <w:p>
      <w:r>
        <w:t xml:space="preserve">(2) Eine Verbrauchsstiftung ist aufzulösen, wenn die Zeit, für die sie errichtet wurde, abgelaufen ist.</w:t>
      </w:r>
    </w:p>
    <w:p>
      <w:r>
        <w:t xml:space="preserve">(3) Die Auflösung einer Stiftung bedarf der Genehmigung der nach Landesrecht zuständigen Behörde.</w:t>
      </w:r>
    </w:p>
    <w:p>
      <w:r>
        <w:rPr>
          <w:color w:val="555555"/>
          <w:sz w:val="17"/>
        </w:rPr>
        <w:t xml:space="preserve">Zitiervorschlag: § 87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