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86f BGB — Wirkungen der Zulegung und der Zusammenlegung</w:t>
      </w:r>
    </w:p>
    <w:p>
      <w:r>
        <w:rPr>
          <w:color w:val="555555"/>
          <w:sz w:val="18"/>
        </w:rPr>
        <w:t xml:space="preserve">Bürgerliches Gesetzbuch</w:t>
      </w:r>
    </w:p>
    <w:p>
      <w:r>
        <w:rPr>
          <w:color w:val="555555"/>
          <w:sz w:val="18"/>
        </w:rPr>
        <w:t xml:space="preserve">Stand: 01.07.2023 (konsolidierte Textfassung, kein amtliches Inkrafttretensdatum)</w:t>
      </w:r>
    </w:p>
    <w:p>
      <w:r>
        <w:t xml:space="preserve">(1) Mit der Unanfechtbarkeit der Genehmigung des Zulegungsvertrags oder der Unanfechtbarkeit der Entscheidung über die Zulegung durch die nach Landesrecht zuständige Behörde geht das Stiftungsvermögen der übertragenden Stiftung auf die übernehmende Stiftung über und erlischt die übertragende Stiftung.</w:t>
      </w:r>
    </w:p>
    <w:p>
      <w:r>
        <w:t xml:space="preserve">(2) Mit der Unanfechtbarkeit der Genehmigung des Zusammenlegungsvertrags oder der Unanfechtbarkeit der Entscheidung über die Zusammenlegung durch die Behörde entsteht die neue Stiftung, geht das Stiftungsvermögen der übertragenden Stiftungen auf die neue übernehmende Stiftung über und erlöschen die übertragenden Stiftungen.</w:t>
      </w:r>
    </w:p>
    <w:p>
      <w:r>
        <w:t xml:space="preserve">(3) Mängel des Zulegungsvertrags oder des Zusammenlegungsvertrags lassen die Wirkungen der behördlichen Genehmigung unberührt.</w:t>
      </w:r>
    </w:p>
    <w:p>
      <w:r>
        <w:rPr>
          <w:color w:val="555555"/>
          <w:sz w:val="17"/>
        </w:rPr>
        <w:t xml:space="preserve">Zitiervorschlag: § 86f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https://recht.nulegal.eu/gesetze/BGB/86f</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