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868 BGB — Mittelbarer Besitz</w:t>
      </w:r>
    </w:p>
    <w:p>
      <w:r>
        <w:rPr>
          <w:color w:val="555555"/>
          <w:sz w:val="18"/>
        </w:rPr>
        <w:t xml:space="preserve">Bürgerliches Gesetzbuch</w:t>
      </w:r>
    </w:p>
    <w:p>
      <w:r>
        <w:rPr>
          <w:color w:val="555555"/>
          <w:sz w:val="18"/>
        </w:rPr>
        <w:t xml:space="preserve">Stand: 10.06.2019 (konsolidierte Textfassung, kein amtliches Inkrafttretensdatum)</w:t>
      </w:r>
    </w:p>
    <w:p>
      <w:r>
        <w:t xml:space="preserve">Besitzt jemand eine Sache als Nießbraucher, Pfandgläubiger, Pächter, Mieter, Verwahrer oder in einem ähnlichen Verhältnis, vermöge dessen er einem anderen gegenüber auf Zeit zum Besitz berechtigt oder verpflichtet ist, so ist auch der andere Besitzer (mittelbarer Besitz).</w:t>
      </w:r>
    </w:p>
    <w:p>
      <w:r>
        <w:rPr>
          <w:color w:val="555555"/>
          <w:sz w:val="17"/>
        </w:rPr>
        <w:t xml:space="preserve">Zitiervorschlag: § 868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https://recht.nulegal.eu/gesetze/BGB/868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