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861 BGB — Anspruch wegen Besitzentziehung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der Besitz durch verbotene Eigenmacht dem Besitzer entzogen, so kann dieser die Wiedereinräumung des Besitzes von demjenigen verlangen, welcher ihm gegenüber fehlerhaft besitzt.</w:t>
      </w:r>
    </w:p>
    <w:p>
      <w:r>
        <w:t xml:space="preserve">(2) Der Anspruch ist ausgeschlossen, wenn der entzogene Besitz dem gegenwärtigen Besitzer oder dessen Rechtsvorgänger gegenüber fehlerhaft war und in dem letzten Jahre vor der Entziehung erlangt worden ist.</w:t>
      </w:r>
    </w:p>
    <w:p>
      <w:r>
        <w:rPr>
          <w:color w:val="555555"/>
          <w:sz w:val="17"/>
        </w:rPr>
        <w:t xml:space="preserve">Zitiervorschlag: § 861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