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85a BGB — Verfahren bei Satzungsänderungen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(1) Die Satzung kann durch den Vorstand oder ein anderes durch die Satzung dazu bestimmtes Stiftungsorgan geändert werden. Die Satzungsänderung bedarf der Genehmigung der nach Landesrecht zuständigen Behörde.</w:t>
      </w:r>
    </w:p>
    <w:p>
      <w:r>
        <w:t xml:space="preserve">(2) Die Behörde kann die Satzung nach § 85 ändern, wenn die Satzungsänderung notwendig ist und das zuständige Stiftungsorgan sie nicht rechtzeitig beschließt.</w:t>
      </w:r>
    </w:p>
    <w:p>
      <w:r>
        <w:t xml:space="preserve">(3) Wenn durch die Satzungsänderung der Sitz der Stiftung in den Zuständigkeitsbereich einer anderen Behörde verlegt werden soll, bedarf die nach Absatz 1 Satz 2 erforderliche Genehmigung der Satzungsänderung der Zustimmung der Behörde, in deren Zuständigkeitsbereich der neue Sitz begründet werden soll.</w:t>
      </w:r>
    </w:p>
    <w:p>
      <w:r>
        <w:rPr>
          <w:color w:val="555555"/>
          <w:sz w:val="17"/>
        </w:rPr>
        <w:t xml:space="preserve">Zitiervorschlag: § 85a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