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859 BGB — Selbsthilfe des Besitzers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Besitzer darf sich verbotener Eigenmacht mit Gewalt erwehren.</w:t>
      </w:r>
    </w:p>
    <w:p>
      <w:r>
        <w:t xml:space="preserve">(2) Wird eine bewegliche Sache dem Besitzer mittels verbotener Eigenmacht weggenommen, so darf er sie dem auf frischer Tat betroffenen oder verfolgten Täter mit Gewalt wieder abnehmen.</w:t>
      </w:r>
    </w:p>
    <w:p>
      <w:r>
        <w:t xml:space="preserve">(3) Wird dem Besitzer eines Grundstücks der Besitz durch verbotene Eigenmacht entzogen, so darf er sofort nach der Entziehung sich des Besitzes durch Entsetzung des Täters wieder bemächtigen.</w:t>
      </w:r>
    </w:p>
    <w:p>
      <w:r>
        <w:t xml:space="preserve">(4) Die gleichen Rechte stehen dem Besitzer gegen denjenigen zu, welcher nach § 858 Abs. 2 die Fehlerhaftigkeit des Besitzes gegen sich gelten lassen muss.</w:t>
      </w:r>
    </w:p>
    <w:p>
      <w:r>
        <w:rPr>
          <w:color w:val="555555"/>
          <w:sz w:val="17"/>
        </w:rPr>
        <w:t xml:space="preserve">Zitiervorschlag: § 859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https://recht.nulegal.eu/gesetze/BGB/859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