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844 BGB — Ersatzansprüche Dritter bei Tötung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Im Falle der Tötung hat der Ersatzpflichtige die Kosten der Beerdigung demjenigen zu ersetzen, welchem die Verpflichtung obliegt, diese Kosten zu tragen.</w:t>
      </w:r>
    </w:p>
    <w:p>
      <w:r>
        <w:t xml:space="preserve">(2) Stand der Getötete zur Zeit der Verletzung zu einem Dritten in einem Verhältnis, vermöge dessen er diesem gegenüber kraft Gesetzes unterhaltspflichtig war oder unterhaltspflichtig werden konnte, und ist dem Dritten infolge der Tötung das Recht auf den Unterhalt entzogen, so hat der Ersatzpflichtige dem Dritten durch Entrichtung einer Geldrente insoweit Schadensersatz zu leisten, als der Getötete während der mutmaßlichen Dauer seines Lebens zur Gewährung des Unterhalts verpflichtet gewesen sein würde; die Vorschrift des § 843 Abs. 2 bis 4 findet entsprechende Anwendung. Die Ersatzpflicht tritt auch dann ein, wenn der Dritte zur Zeit der Verletzung gezeugt,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844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