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813 BGB — Erfüllung trotz Einrede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zum Zwecke der Erfüllung einer Verbindlichkeit Geleistete kann auch dann zurückgefordert werden, wenn dem Anspruch eine Einrede entgegenstand, durch welche die Geltendmachung des Anspruchs dauernd ausgeschlossen wurde. Die Vorschrift des § 214 Abs. 2 bleibt unberührt.</w:t>
      </w:r>
    </w:p>
    <w:p>
      <w:r>
        <w:t xml:space="preserve">(2) Wird eine betagte Verbindlichkeit vorzeitig erfüllt, so ist die Rückforderung ausgeschlossen; die Erstattung von Zwischenzinsen kann nicht verlangt werden.</w:t>
      </w:r>
    </w:p>
    <w:p>
      <w:r>
        <w:rPr>
          <w:color w:val="555555"/>
          <w:sz w:val="17"/>
        </w:rPr>
        <w:t xml:space="preserve">Zitiervorschlag: § 813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