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804 BGB — Verlust von Zins- oder ähnlichen Scheinen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Zins-, Renten- oder Gewinnanteilschein abhanden gekommen oder vernichtet und hat der bisherige Inhaber den Verlust dem Aussteller vor dem Ablauf der Vorlegungsfrist angezeigt, so kann der bisherige Inhaber nach dem Ablauf der Frist die Leistung von dem Aussteller verlangen. Der Anspruch ist ausgeschlossen, wenn der abhanden gekommene Schein dem Aussteller zur Einlösung vorgelegt oder der Anspruch aus dem Schein gerichtlich geltend gemacht worden ist, es sei denn, dass die Vorlegung oder die gerichtliche Geltendmachung nach dem Ablauf der Frist erfolgt ist. Der Anspruch verjährt in vier Jahren.</w:t>
      </w:r>
    </w:p>
    <w:p>
      <w:r>
        <w:t xml:space="preserve">(2) In dem Zins-, Renten- oder Gewinnanteilschein kann der im Absatz 1 bestimmte Anspruch ausgeschlossen werden.</w:t>
      </w:r>
    </w:p>
    <w:p>
      <w:r>
        <w:rPr>
          <w:color w:val="555555"/>
          <w:sz w:val="17"/>
        </w:rPr>
        <w:t xml:space="preserve">Zitiervorschlag: § 804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