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793 BGB — Rechte aus der Schuldverschreibung auf den Inhaber</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Hat jemand eine Urkunde ausgestellt, in der er dem Inhaber der Urkunde eine Leistung verspricht (Schuldverschreibung auf den Inhaber), so kann der Inhaber von ihm die Leistung nach Maßgabe des Versprechens verlangen, es sei denn, dass er zur Verfügung über die Urkunde nicht berechtigt ist. Der Aussteller wird jedoch auch durch die Leistung an einen nicht zur Verfügung berechtigten Inhaber befreit.</w:t>
      </w:r>
    </w:p>
    <w:p>
      <w:r>
        <w:t xml:space="preserve">(2) Die Gültigkeit der Unterzeichnung kann durch eine in die Urkunde aufgenommene Bestimmung von der Beobachtung einer besonderen Form abhängig gemacht werden. Zur Unterzeichnung genügt eine im Wege der mechanischen Vervielfältigung hergestellte Namensunterschrift.</w:t>
      </w:r>
    </w:p>
    <w:p>
      <w:r>
        <w:rPr>
          <w:color w:val="555555"/>
          <w:sz w:val="17"/>
        </w:rPr>
        <w:t xml:space="preserve">Zitiervorschlag: § 793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https://recht.nulegal.eu/gesetze/BGB/793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