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792 BGB — Übertragung der Anweisung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Anweisungsempfänger kann die Anweisung durch Vertrag mit einem Dritten auf diesen übertragen, auch wenn sie noch nicht angenommen worden ist. Die Übertragungserklärung bedarf der schriftlichen Form. Zur Übertragung ist die Aushändigung der Anweisung an den Dritten erforderlich.</w:t>
      </w:r>
    </w:p>
    <w:p>
      <w:r>
        <w:t xml:space="preserve">(2) Der Anweisende kann die Übertragung ausschließen. Die Ausschließung ist dem Angewiesenen gegenüber nur wirksam, wenn sie aus der Anweisung zu entnehmen ist oder wenn sie von dem Anweisenden dem Angewiesenen mitgeteilt wird, bevor dieser die Anweisung annimmt oder die Leistung bewirkt.</w:t>
      </w:r>
    </w:p>
    <w:p>
      <w:r>
        <w:t xml:space="preserve">(3) Nimmt der Angewiesene die Anweisung dem Erwerber gegenüber an, so kann er aus einem zwischen ihm und dem Anweisungsempfänger bestehenden Rechtsverhältnis Einwendungen nicht herleiten. Im Übrigen finden auf die Übertragung der Anweisung die für die Abtretung einer Forderung geltenden Vorschriften entsprechende Anwendung.</w:t>
      </w:r>
    </w:p>
    <w:p>
      <w:r>
        <w:rPr>
          <w:color w:val="555555"/>
          <w:sz w:val="17"/>
        </w:rPr>
        <w:t xml:space="preserve">Zitiervorschlag: § 792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