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784 BGB — Annahme der Anweisung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Nimmt der Angewiesene die Anweisung an, so ist er dem Anweisungsempfänger gegenüber zur Leistung verpflichtet; er kann ihm nur solche Einwendungen entgegensetzen, welche die Gültigkeit der Annahme betreffen oder sich aus dem Inhalt der Anweisung oder dem Inhalt der Annahme ergeben oder dem Angewiesenen unmittelbar gegen den Anweisungsempfänger zustehen.</w:t>
      </w:r>
    </w:p>
    <w:p>
      <w:r>
        <w:t xml:space="preserve">(2) Die Annahme erfolgt durch einen schriftlichen Vermerk auf der Anweisung. Ist der Vermerk auf die Anweisung vor der Aushändigung an den Anweisungsempfänger gesetzt worden, so wird die Annahme diesem gegenüber erst mit der Aushändigung wirksam.</w:t>
      </w:r>
    </w:p>
    <w:p>
      <w:r>
        <w:rPr>
          <w:color w:val="555555"/>
          <w:sz w:val="17"/>
        </w:rPr>
        <w:t xml:space="preserve">Zitiervorschlag: § 784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