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773 BGB — Ausschluss der Einrede der Vorausklage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Einrede der Vorausklage ist ausgeschlossen:</w:t>
      </w:r>
    </w:p>
    <w:p>
      <w:pPr>
        <w:ind w:left="420"/>
      </w:pPr>
      <w:r>
        <w:t xml:space="preserve">1. wenn der Bürge auf die Einrede verzichtet, insbesondere wenn er sich als Selbstschuldner verbürgt hat,</w:t>
      </w:r>
    </w:p>
    <w:p>
      <w:pPr>
        <w:ind w:left="420"/>
      </w:pPr>
      <w:r>
        <w:t xml:space="preserve">2. wenn die Rechtsverfolgung gegen den Hauptschuldner infolge einer nach der Übernahme der Bürgschaft eingetretenen Änderung des Wohnsitzes, der gewerblichen Niederlassung oder des Aufenthaltsorts des Hauptschuldners wesentlich erschwert ist,</w:t>
      </w:r>
    </w:p>
    <w:p>
      <w:pPr>
        <w:ind w:left="420"/>
      </w:pPr>
      <w:r>
        <w:t xml:space="preserve">3. wenn über das Vermögen des Hauptschuldners das Insolvenzverfahren eröffnet ist,</w:t>
      </w:r>
    </w:p>
    <w:p>
      <w:pPr>
        <w:ind w:left="420"/>
      </w:pPr>
      <w:r>
        <w:t xml:space="preserve">4. wenn anzunehmen ist, dass die Zwangsvollstreckung in das Vermögen des Hauptschuldners nicht zur Befriedigung des Gläubigers führen wird.</w:t>
      </w:r>
    </w:p>
    <w:p>
      <w:r>
        <w:t xml:space="preserve">(2) In den Fällen der Nummern 3, 4 ist die Einrede insoweit zulässig, als sich der Gläubiger aus einer beweglichen Sache des Hauptschuldners befriedigen kann, an der er ein Pfandrecht oder ein Zurückbehaltungsrecht hat; die Vorschrift des § 772 Abs. 2 Satz 2 findet Anwendung.</w:t>
      </w:r>
    </w:p>
    <w:p>
      <w:r>
        <w:rPr>
          <w:color w:val="555555"/>
          <w:sz w:val="17"/>
        </w:rPr>
        <w:t xml:space="preserve">Zitiervorschlag: § 773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https://recht.nulegal.eu/gesetze/BGB/773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