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770 BGB — Einreden der Anfechtbarkeit und der Aufrechenbarkeit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Bürge kann die Befriedigung des Gläubigers verweigern, solange dem Hauptschuldner das Recht zusteht, das seiner Verbindlichkeit zugrunde liegende Rechtsgeschäft anzufechten.</w:t>
      </w:r>
    </w:p>
    <w:p>
      <w:r>
        <w:t xml:space="preserve">(2) Die gleiche Befugnis hat der Bürge, solange sich der Gläubiger durch Aufrechnung gegen eine fällige Forderung des Hauptschuldners befriedigen kann.</w:t>
      </w:r>
    </w:p>
    <w:p>
      <w:r>
        <w:rPr>
          <w:color w:val="555555"/>
          <w:sz w:val="17"/>
        </w:rPr>
        <w:t xml:space="preserve">Zitiervorschlag: § 770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