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768 BGB — Einreden des Bürgen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Bürge kann die dem Hauptschuldner zustehenden Einreden geltend machen. Stirbt der Hauptschuldner, so kann sich der Bürge nicht darauf berufen, dass der Erbe für die Verbindlichkeit nur beschränkt haftet.</w:t>
      </w:r>
    </w:p>
    <w:p>
      <w:r>
        <w:t xml:space="preserve">(2) Der Bürge verliert eine Einrede nicht dadurch, dass der Hauptschuldner auf sie verzichtet.</w:t>
      </w:r>
    </w:p>
    <w:p>
      <w:r>
        <w:rPr>
          <w:color w:val="555555"/>
          <w:sz w:val="17"/>
        </w:rPr>
        <w:t xml:space="preserve">Zitiervorschlag: § 768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768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