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767 BGB — Umfang der Bürgschaftsschuld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Für die Verpflichtung des Bürgen ist der jeweilige Bestand der Hauptverbindlichkeit maßgebend. Dies gilt insbesondere auch, wenn die Hauptverbindlichkeit durch Verschulden oder Verzug des Hauptschuldners geändert wird. Durch ein Rechtsgeschäft, das der Hauptschuldner nach der Übernahme der Bürgschaft vornimmt, wird die Verpflichtung des Bürgen nicht erweitert.</w:t>
      </w:r>
    </w:p>
    <w:p>
      <w:r>
        <w:t xml:space="preserve">(2) Der Bürge haftet für die dem Gläubiger von dem Hauptschuldner zu ersetzenden Kosten der Kündigung und der Rechtsverfolgung.</w:t>
      </w:r>
    </w:p>
    <w:p>
      <w:r>
        <w:rPr>
          <w:color w:val="555555"/>
          <w:sz w:val="17"/>
        </w:rPr>
        <w:t xml:space="preserve">Zitiervorschlag: § 767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