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765 BGB — Vertragstypische Pflichten bei der Bürgschaft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Durch den Bürgschaftsvertrag verpflichtet sich der Bürge gegenüber dem Gläubiger eines Dritten, für die Erfüllung der Verbindlichkeit des Dritten einzustehen.</w:t>
      </w:r>
    </w:p>
    <w:p>
      <w:r>
        <w:t xml:space="preserve">(2) Die Bürgschaft kann auch für eine künftige oder eine bedingte Verbindlichkeit übernommen werden.</w:t>
      </w:r>
    </w:p>
    <w:p>
      <w:r>
        <w:rPr>
          <w:color w:val="555555"/>
          <w:sz w:val="17"/>
        </w:rPr>
        <w:t xml:space="preserve">Zitiervorschlag: § 765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https://recht.nulegal.eu/gesetze/BGB/765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