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762 BGB — Spiel, Wette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Spiel oder durch Wette wird eine Verbindlichkeit nicht begründet. Das auf Grund des Spieles oder der Wette Geleistete kann nicht deshalb zurückgefordert werden, weil eine Verbindlichkeit nicht bestanden hat.</w:t>
      </w:r>
    </w:p>
    <w:p>
      <w:r>
        <w:t xml:space="preserve">(2) Diese Vorschriften gelten auch für eine Vereinbarung, durch die der verlierende Teil zum Zwecke der Erfüllung einer Spiel- oder einer Wettschuld dem gewinnenden Teil gegenüber eine Verbindlichkeit eingeht, insbesondere für ein Schuldanerkenntnis.</w:t>
      </w:r>
    </w:p>
    <w:p>
      <w:r>
        <w:rPr>
          <w:color w:val="555555"/>
          <w:sz w:val="17"/>
        </w:rPr>
        <w:t xml:space="preserve">Zitiervorschlag: § 762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