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754 BGB — Verkauf gemeinschaftlicher Forderungen</w:t>
      </w:r>
    </w:p>
    <w:p>
      <w:r>
        <w:rPr>
          <w:color w:val="555555"/>
          <w:sz w:val="18"/>
        </w:rPr>
        <w:t xml:space="preserve">Bürgerliches Gesetzbuch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Der Verkauf einer gemeinschaftlichen Forderung ist nur zulässig, wenn sie noch nicht eingezogen werden kann. Ist die Einziehung möglich, so kann jeder Teilhaber gemeinschaftliche Einziehung verlangen.</w:t>
      </w:r>
    </w:p>
    <w:p>
      <w:r>
        <w:rPr>
          <w:color w:val="555555"/>
          <w:sz w:val="17"/>
        </w:rPr>
        <w:t xml:space="preserve">Zitiervorschlag: § 754 BGB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https://recht.nulegal.eu/gesetze/BGB/754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