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746 BGB — Wirkung gegen Sondernachfolger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Haben die Teilhaber die Verwaltung und Benutzung des gemeinschaftlichen Gegenstands geregelt, so wirkt die getroffene Bestimmung auch für und gegen die Sondernachfolger.</w:t>
      </w:r>
    </w:p>
    <w:p>
      <w:r>
        <w:rPr>
          <w:color w:val="555555"/>
          <w:sz w:val="17"/>
        </w:rPr>
        <w:t xml:space="preserve">Zitiervorschlag: § 746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https://recht.nulegal.eu/gesetze/BGB/746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