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744 BGB — Gemeinschaftliche Verwaltung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Verwaltung des gemeinschaftlichen Gegenstands steht den Teilhabern gemeinschaftlich zu.</w:t>
      </w:r>
    </w:p>
    <w:p>
      <w:r>
        <w:t xml:space="preserve">(2) Jeder Teilhaber ist berechtigt, die zur Erhaltung des Gegenstands notwendigen Maßregeln ohne Zustimmung der anderen Teilhaber zu treffen; er kann verlangen, dass diese ihre Einwilligung zu einer solchen Maßregel im Voraus erteilen.</w:t>
      </w:r>
    </w:p>
    <w:p>
      <w:r>
        <w:rPr>
          <w:color w:val="555555"/>
          <w:sz w:val="17"/>
        </w:rPr>
        <w:t xml:space="preserve">Zitiervorschlag: § 744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