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738 BGB — Anmeldung des Erlöschens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Ist die Gesellschaft im Gesellschaftsregister eingetragen, ist das Erlöschen der Gesellschaft von sämtlichen Liquidatoren zur Eintragung in das Gesellschaftsregister anzumelden, sobald die Liquidation beendigt ist.</w:t>
      </w:r>
    </w:p>
    <w:p>
      <w:r>
        <w:rPr>
          <w:color w:val="555555"/>
          <w:sz w:val="17"/>
        </w:rPr>
        <w:t xml:space="preserve">Zitiervorschlag: § 738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https://recht.nulegal.eu/gesetze/BGB/738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