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721a BGB — Haftung des eintretenden Gesellschafters</w:t>
      </w:r>
    </w:p>
    <w:p>
      <w:r>
        <w:rPr>
          <w:color w:val="555555"/>
          <w:sz w:val="18"/>
        </w:rPr>
        <w:t xml:space="preserve">Bürgerliches Gesetzbuch</w:t>
      </w:r>
    </w:p>
    <w:p>
      <w:r>
        <w:rPr>
          <w:color w:val="555555"/>
          <w:sz w:val="18"/>
        </w:rPr>
        <w:t xml:space="preserve">Stand: 01.01.2024 (konsolidierte Textfassung, kein amtliches Inkrafttretensdatum)</w:t>
      </w:r>
    </w:p>
    <w:p>
      <w:r>
        <w:t xml:space="preserve">Wer in eine bestehende Gesellschaft eintritt, haftet gleich den anderen Gesellschaftern nach Maßgabe der §§ 721 und 721b für die vor seinem Eintritt begründeten Verbindlichkeiten der Gesellschaft. Eine entgegenstehende Vereinbarung ist Dritten gegenüber unwirksam.</w:t>
      </w:r>
    </w:p>
    <w:p>
      <w:r>
        <w:rPr>
          <w:color w:val="555555"/>
          <w:sz w:val="17"/>
        </w:rPr>
        <w:t xml:space="preserve">Zitiervorschlag: § 721a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