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711a BGB — Übertragbarkeit von Gesellschafterrechten</w:t>
      </w:r>
    </w:p>
    <w:p>
      <w:r>
        <w:rPr>
          <w:color w:val="555555"/>
          <w:sz w:val="18"/>
        </w:rPr>
        <w:t xml:space="preserve">Bürgerliches Gesetzbuch</w:t>
      </w:r>
    </w:p>
    <w:p>
      <w:r>
        <w:rPr>
          <w:color w:val="555555"/>
          <w:sz w:val="18"/>
        </w:rPr>
        <w:t xml:space="preserve">Stand: 01.01.2024 (konsolidierte Textfassung, kein amtliches Inkrafttretensdatum)</w:t>
      </w:r>
    </w:p>
    <w:p>
      <w:r>
        <w:t xml:space="preserve">Die Rechte der Gesellschafter aus dem Gesellschaftsverhältnis sind nicht übertragbar. Hiervon ausgenommen sind Ansprüche, die einem Gesellschafter aus seiner Geschäftsbesorgung für die Gesellschaft zustehen, soweit deren Befriedigung außerhalb der Liquidation verlangt werden kann, sowie Ansprüche eines Gesellschafters auf einen Gewinnanteil oder auf dasjenige, was ihm im Fall der Liquidation zukommt.</w:t>
      </w:r>
    </w:p>
    <w:p>
      <w:r>
        <w:rPr>
          <w:color w:val="555555"/>
          <w:sz w:val="17"/>
        </w:rPr>
        <w:t xml:space="preserve">Zitiervorschlag: § 711a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https://recht.nulegal.eu/gesetze/BGB/711a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