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709 BGB — Beiträge; Stimmkraft; Anteil an Gewinn und Verlust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Der Beitrag eines Gesellschafters kann in jeder Förderung des gemeinsamen Zwecks, auch in der Leistung von Diensten, bestehen.</w:t>
      </w:r>
    </w:p>
    <w:p>
      <w:r>
        <w:t xml:space="preserve">(2) Im Zweifel sind die Gesellschafter zu gleichen Beiträgen verpflichtet.</w:t>
      </w:r>
    </w:p>
    <w:p>
      <w:r>
        <w:t xml:space="preserve">(3) Die Stimmkraft und der Anteil an Gewinn und Verlust richten sich vorrangig nach den vereinbarten Beteiligungsverhältnissen. Sind keine Beteiligungsverhältnisse vereinbart worden, richten sie sich nach dem Verhältnis der vereinbarten Werte der Beiträge. Sind auch Werte der Beiträge nicht vereinbart worden, hat jeder Gesellschafter ohne Rücksicht auf den Wert seines Beitrags die gleiche Stimmkraft und einen gleichen Anteil am Gewinn und Verlust.</w:t>
      </w:r>
    </w:p>
    <w:p>
      <w:r>
        <w:rPr>
          <w:color w:val="555555"/>
          <w:sz w:val="17"/>
        </w:rPr>
        <w:t xml:space="preserve">Zitiervorschlag: § 709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