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702a BGB — Erlass der Haftung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Die Haftung des Gastwirts kann im Voraus nur erlassen werden, soweit sie den nach § 702 Abs. 1 maßgeblichen Höchstbetrag übersteigt. Auch insoweit kann sie nicht erlassen werden für den Fall, dass der Verlust, die Zerstörung oder die Beschädigung von dem Gastwirt oder von Leuten des Gastwirts vorsätzlich oder grob fahrlässig verursacht wird oder dass es sich um Sachen handelt, deren Übernahme zur Aufbewahrung der Gastwirt entgegen der Vorschrift des § 702 Abs. 3 abgelehnt hat.</w:t>
      </w:r>
    </w:p>
    <w:p>
      <w:r>
        <w:t xml:space="preserve">(2) Der Erlass ist nur wirksam, wenn die Erklärung des Gastes schriftlich erteilt ist und wenn sie keine anderen Bestimmungen enthält.</w:t>
      </w:r>
    </w:p>
    <w:p>
      <w:r>
        <w:rPr>
          <w:color w:val="555555"/>
          <w:sz w:val="17"/>
        </w:rPr>
        <w:t xml:space="preserve">Zitiervorschlag: § 702a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https://recht.nulegal.eu/gesetze/BGB/702a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