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BGB — Wohnsitz; Begründung und Aufhebung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15.08.2024 (konsolidierte Textfassung, kein amtliches Inkrafttretensdatum)</w:t>
      </w:r>
    </w:p>
    <w:p>
      <w:r>
        <w:t xml:space="preserve">(1) Wer sich an einem Orte ständig niederlässt, begründet an diesem Orte seinen Wohnsitz.</w:t>
      </w:r>
    </w:p>
    <w:p>
      <w:r>
        <w:t xml:space="preserve">(2) Der Wohnsitz kann gleichzeitig an mehreren Orten bestehen.</w:t>
      </w:r>
    </w:p>
    <w:p>
      <w:r>
        <w:t xml:space="preserve">(3) Der Wohnsitz wird aufgehoben, wenn die Niederlassung mit dem Willen aufgehoben wird, sie aufzugeben.</w:t>
      </w:r>
    </w:p>
    <w:p>
      <w:r>
        <w:rPr>
          <w:color w:val="555555"/>
          <w:sz w:val="17"/>
        </w:rPr>
        <w:t xml:space="preserve">Zitiervorschlag: § 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